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4" w:rsidRPr="00C02624" w:rsidRDefault="004B7194" w:rsidP="004B7194">
      <w:pPr>
        <w:rPr>
          <w:b/>
        </w:rPr>
      </w:pPr>
      <w:proofErr w:type="spellStart"/>
      <w:r w:rsidRPr="00C02624">
        <w:rPr>
          <w:b/>
          <w:highlight w:val="yellow"/>
        </w:rPr>
        <w:t>Febrero</w:t>
      </w:r>
      <w:proofErr w:type="spellEnd"/>
      <w:r w:rsidRPr="00C02624">
        <w:rPr>
          <w:b/>
          <w:highlight w:val="yellow"/>
        </w:rPr>
        <w:t xml:space="preserve"> 24 de 2014</w:t>
      </w:r>
    </w:p>
    <w:p w:rsidR="004B7194" w:rsidRDefault="004B7194" w:rsidP="004B7194"/>
    <w:p w:rsidR="004B7194" w:rsidRDefault="004B7194" w:rsidP="004B7194">
      <w:r w:rsidRPr="00137A0D">
        <w:t xml:space="preserve">Go to this </w:t>
      </w:r>
      <w:proofErr w:type="gramStart"/>
      <w:r w:rsidRPr="00137A0D">
        <w:t>link :</w:t>
      </w:r>
      <w:proofErr w:type="gramEnd"/>
      <w:r w:rsidRPr="00137A0D">
        <w:t xml:space="preserve"> </w:t>
      </w:r>
      <w:hyperlink r:id="rId6" w:history="1">
        <w:r w:rsidRPr="007B50EB">
          <w:rPr>
            <w:rStyle w:val="Hyperlink"/>
          </w:rPr>
          <w:t>http://www.youtube.com/watch?v=JAQIJLv7stc</w:t>
        </w:r>
      </w:hyperlink>
      <w:bookmarkStart w:id="0" w:name="_GoBack"/>
      <w:bookmarkEnd w:id="0"/>
    </w:p>
    <w:p w:rsidR="004B7194" w:rsidRDefault="004B7194" w:rsidP="004B7194">
      <w:pPr>
        <w:pStyle w:val="ListParagraph"/>
        <w:numPr>
          <w:ilvl w:val="0"/>
          <w:numId w:val="1"/>
        </w:numPr>
      </w:pPr>
      <w:r>
        <w:t>Look for the verbs in</w:t>
      </w:r>
      <w:r w:rsidRPr="00C02624">
        <w:rPr>
          <w:b/>
        </w:rPr>
        <w:t xml:space="preserve"> </w:t>
      </w:r>
      <w:proofErr w:type="spellStart"/>
      <w:r w:rsidRPr="00C02624">
        <w:rPr>
          <w:b/>
        </w:rPr>
        <w:t>Preterito</w:t>
      </w:r>
      <w:proofErr w:type="spellEnd"/>
      <w:r>
        <w:t xml:space="preserve"> in the story and continue building the chart by writing the </w:t>
      </w:r>
      <w:r w:rsidRPr="00C02624">
        <w:rPr>
          <w:b/>
          <w:highlight w:val="green"/>
        </w:rPr>
        <w:t>Past tense in English</w:t>
      </w:r>
      <w:r w:rsidRPr="00C02624">
        <w:rPr>
          <w:b/>
        </w:rPr>
        <w:t xml:space="preserve">, </w:t>
      </w:r>
      <w:proofErr w:type="spellStart"/>
      <w:r w:rsidRPr="00C02624">
        <w:rPr>
          <w:b/>
          <w:highlight w:val="cyan"/>
        </w:rPr>
        <w:t>Infinitivo</w:t>
      </w:r>
      <w:proofErr w:type="spellEnd"/>
      <w:r w:rsidRPr="00C02624">
        <w:rPr>
          <w:b/>
          <w:highlight w:val="cyan"/>
        </w:rPr>
        <w:t xml:space="preserve"> en </w:t>
      </w:r>
      <w:proofErr w:type="spellStart"/>
      <w:proofErr w:type="gramStart"/>
      <w:r w:rsidRPr="00C02624">
        <w:rPr>
          <w:b/>
          <w:highlight w:val="cyan"/>
        </w:rPr>
        <w:t>Español</w:t>
      </w:r>
      <w:proofErr w:type="spellEnd"/>
      <w:r w:rsidRPr="00C02624">
        <w:rPr>
          <w:b/>
        </w:rPr>
        <w:t xml:space="preserve">  </w:t>
      </w:r>
      <w:r>
        <w:t>and</w:t>
      </w:r>
      <w:proofErr w:type="gramEnd"/>
      <w:r>
        <w:t xml:space="preserve"> the </w:t>
      </w:r>
      <w:r w:rsidRPr="00C02624">
        <w:rPr>
          <w:b/>
          <w:highlight w:val="yellow"/>
        </w:rPr>
        <w:t>Basic form in English</w:t>
      </w:r>
      <w:r>
        <w:t>.</w:t>
      </w:r>
    </w:p>
    <w:p w:rsidR="004B7194" w:rsidRPr="00137A0D" w:rsidRDefault="004B7194" w:rsidP="004B7194">
      <w:r>
        <w:t xml:space="preserve">For example if you see. </w:t>
      </w:r>
      <w:proofErr w:type="spellStart"/>
      <w:r>
        <w:t>Cantó</w:t>
      </w:r>
      <w:proofErr w:type="spellEnd"/>
      <w:r>
        <w:t xml:space="preserve"> in the video clip </w:t>
      </w:r>
      <w:r w:rsidRPr="00137A0D">
        <w:t>you will type: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9"/>
        <w:gridCol w:w="2252"/>
        <w:gridCol w:w="2342"/>
        <w:gridCol w:w="2637"/>
      </w:tblGrid>
      <w:tr w:rsidR="004B7194" w:rsidRPr="00137A0D" w:rsidTr="005F3219">
        <w:trPr>
          <w:trHeight w:val="287"/>
        </w:trPr>
        <w:tc>
          <w:tcPr>
            <w:tcW w:w="2229" w:type="dxa"/>
          </w:tcPr>
          <w:p w:rsidR="004B7194" w:rsidRDefault="004B7194" w:rsidP="005F3219">
            <w:pPr>
              <w:rPr>
                <w:b/>
                <w:lang w:val="es-CO"/>
              </w:rPr>
            </w:pPr>
            <w:r w:rsidRPr="00137A0D">
              <w:rPr>
                <w:b/>
                <w:lang w:val="es-CO"/>
              </w:rPr>
              <w:t>Pretérito</w:t>
            </w:r>
          </w:p>
          <w:p w:rsidR="004B7194" w:rsidRPr="00137A0D" w:rsidRDefault="004B7194" w:rsidP="005F3219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Español </w:t>
            </w:r>
          </w:p>
        </w:tc>
        <w:tc>
          <w:tcPr>
            <w:tcW w:w="2252" w:type="dxa"/>
          </w:tcPr>
          <w:p w:rsidR="004B7194" w:rsidRPr="00C02624" w:rsidRDefault="004B7194" w:rsidP="005F3219">
            <w:pPr>
              <w:rPr>
                <w:b/>
                <w:highlight w:val="green"/>
                <w:lang w:val="es-CO"/>
              </w:rPr>
            </w:pPr>
            <w:proofErr w:type="spellStart"/>
            <w:r w:rsidRPr="00C02624">
              <w:rPr>
                <w:b/>
                <w:highlight w:val="green"/>
                <w:lang w:val="es-CO"/>
              </w:rPr>
              <w:t>Past</w:t>
            </w:r>
            <w:proofErr w:type="spellEnd"/>
            <w:r w:rsidRPr="00C02624">
              <w:rPr>
                <w:b/>
                <w:highlight w:val="green"/>
                <w:lang w:val="es-CO"/>
              </w:rPr>
              <w:t xml:space="preserve"> tense</w:t>
            </w:r>
          </w:p>
          <w:p w:rsidR="004B7194" w:rsidRPr="00137A0D" w:rsidRDefault="004B7194" w:rsidP="005F3219">
            <w:pPr>
              <w:rPr>
                <w:b/>
                <w:lang w:val="es-CO"/>
              </w:rPr>
            </w:pPr>
            <w:r w:rsidRPr="00C02624">
              <w:rPr>
                <w:b/>
                <w:highlight w:val="green"/>
                <w:lang w:val="es-CO"/>
              </w:rPr>
              <w:t>English</w:t>
            </w:r>
          </w:p>
        </w:tc>
        <w:tc>
          <w:tcPr>
            <w:tcW w:w="2342" w:type="dxa"/>
          </w:tcPr>
          <w:p w:rsidR="004B7194" w:rsidRPr="00C02624" w:rsidRDefault="004B7194" w:rsidP="005F3219">
            <w:pPr>
              <w:ind w:left="30"/>
              <w:rPr>
                <w:b/>
                <w:highlight w:val="cyan"/>
                <w:lang w:val="es-CO"/>
              </w:rPr>
            </w:pPr>
            <w:r w:rsidRPr="00C02624">
              <w:rPr>
                <w:b/>
                <w:highlight w:val="cyan"/>
                <w:lang w:val="es-CO"/>
              </w:rPr>
              <w:t>Infinitivo</w:t>
            </w:r>
          </w:p>
          <w:p w:rsidR="004B7194" w:rsidRPr="00137A0D" w:rsidRDefault="004B7194" w:rsidP="005F3219">
            <w:pPr>
              <w:ind w:left="30"/>
              <w:rPr>
                <w:b/>
                <w:lang w:val="es-CO"/>
              </w:rPr>
            </w:pPr>
            <w:r w:rsidRPr="00C02624">
              <w:rPr>
                <w:b/>
                <w:highlight w:val="cyan"/>
                <w:lang w:val="es-CO"/>
              </w:rPr>
              <w:t>Español</w:t>
            </w:r>
            <w:r>
              <w:rPr>
                <w:b/>
                <w:lang w:val="es-CO"/>
              </w:rPr>
              <w:t xml:space="preserve"> </w:t>
            </w:r>
          </w:p>
        </w:tc>
        <w:tc>
          <w:tcPr>
            <w:tcW w:w="2637" w:type="dxa"/>
          </w:tcPr>
          <w:p w:rsidR="004B7194" w:rsidRPr="00C02624" w:rsidRDefault="004B7194" w:rsidP="005F3219">
            <w:pPr>
              <w:rPr>
                <w:b/>
                <w:highlight w:val="yellow"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  <w:r w:rsidRPr="00C02624">
              <w:rPr>
                <w:b/>
                <w:highlight w:val="yellow"/>
                <w:lang w:val="es-CO"/>
              </w:rPr>
              <w:t xml:space="preserve">Basic </w:t>
            </w:r>
            <w:proofErr w:type="spellStart"/>
            <w:r w:rsidRPr="00C02624">
              <w:rPr>
                <w:b/>
                <w:highlight w:val="yellow"/>
                <w:lang w:val="es-CO"/>
              </w:rPr>
              <w:t>form</w:t>
            </w:r>
            <w:proofErr w:type="spellEnd"/>
          </w:p>
          <w:p w:rsidR="004B7194" w:rsidRPr="00137A0D" w:rsidRDefault="004B7194" w:rsidP="005F3219">
            <w:pPr>
              <w:rPr>
                <w:b/>
                <w:lang w:val="es-CO"/>
              </w:rPr>
            </w:pPr>
            <w:r w:rsidRPr="00C02624">
              <w:rPr>
                <w:b/>
                <w:highlight w:val="yellow"/>
                <w:lang w:val="es-CO"/>
              </w:rPr>
              <w:t xml:space="preserve"> English</w:t>
            </w:r>
          </w:p>
        </w:tc>
      </w:tr>
      <w:tr w:rsidR="004B7194" w:rsidRPr="00137A0D" w:rsidTr="005F3219">
        <w:trPr>
          <w:trHeight w:val="300"/>
        </w:trPr>
        <w:tc>
          <w:tcPr>
            <w:tcW w:w="2229" w:type="dxa"/>
          </w:tcPr>
          <w:p w:rsidR="004B7194" w:rsidRPr="00137A0D" w:rsidRDefault="004B7194" w:rsidP="005F3219">
            <w:pPr>
              <w:rPr>
                <w:lang w:val="es-CO"/>
              </w:rPr>
            </w:pPr>
            <w:r w:rsidRPr="00137A0D">
              <w:rPr>
                <w:lang w:val="es-CO"/>
              </w:rPr>
              <w:t>Cantó</w:t>
            </w:r>
          </w:p>
        </w:tc>
        <w:tc>
          <w:tcPr>
            <w:tcW w:w="2252" w:type="dxa"/>
          </w:tcPr>
          <w:p w:rsidR="004B7194" w:rsidRPr="00137A0D" w:rsidRDefault="004B7194" w:rsidP="005F3219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Sang</w:t>
            </w:r>
            <w:proofErr w:type="spellEnd"/>
          </w:p>
        </w:tc>
        <w:tc>
          <w:tcPr>
            <w:tcW w:w="2342" w:type="dxa"/>
          </w:tcPr>
          <w:p w:rsidR="004B7194" w:rsidRPr="00137A0D" w:rsidRDefault="004B7194" w:rsidP="005F3219">
            <w:pPr>
              <w:ind w:left="155"/>
              <w:rPr>
                <w:lang w:val="es-CO"/>
              </w:rPr>
            </w:pPr>
            <w:r w:rsidRPr="00137A0D">
              <w:rPr>
                <w:lang w:val="es-CO"/>
              </w:rPr>
              <w:t>Cantar</w:t>
            </w:r>
          </w:p>
        </w:tc>
        <w:tc>
          <w:tcPr>
            <w:tcW w:w="2637" w:type="dxa"/>
          </w:tcPr>
          <w:p w:rsidR="004B7194" w:rsidRPr="00137A0D" w:rsidRDefault="004B7194" w:rsidP="005F3219">
            <w:pPr>
              <w:rPr>
                <w:lang w:val="es-CO"/>
              </w:rPr>
            </w:pPr>
            <w:r>
              <w:rPr>
                <w:lang w:val="es-CO"/>
              </w:rPr>
              <w:t xml:space="preserve">  To </w:t>
            </w:r>
            <w:proofErr w:type="spellStart"/>
            <w:r>
              <w:rPr>
                <w:lang w:val="es-CO"/>
              </w:rPr>
              <w:t>Sing</w:t>
            </w:r>
            <w:proofErr w:type="spellEnd"/>
          </w:p>
        </w:tc>
      </w:tr>
    </w:tbl>
    <w:p w:rsidR="004B7194" w:rsidRDefault="004B7194" w:rsidP="004B7194">
      <w:pPr>
        <w:rPr>
          <w:lang w:val="es-CO"/>
        </w:rPr>
      </w:pPr>
    </w:p>
    <w:p w:rsidR="00486B09" w:rsidRDefault="004B7194" w:rsidP="00486B09">
      <w:pPr>
        <w:pStyle w:val="ListParagraph"/>
        <w:numPr>
          <w:ilvl w:val="0"/>
          <w:numId w:val="1"/>
        </w:numPr>
        <w:rPr>
          <w:b/>
        </w:rPr>
      </w:pPr>
      <w:r w:rsidRPr="00C02624">
        <w:rPr>
          <w:b/>
        </w:rPr>
        <w:t>Write in 200 words at least what is the video</w:t>
      </w:r>
      <w:r>
        <w:rPr>
          <w:b/>
        </w:rPr>
        <w:t xml:space="preserve"> about in Spanish, use </w:t>
      </w:r>
      <w:proofErr w:type="spellStart"/>
      <w:r>
        <w:rPr>
          <w:b/>
        </w:rPr>
        <w:t>Preterito</w:t>
      </w:r>
      <w:proofErr w:type="spellEnd"/>
      <w:r w:rsidRPr="00C02624">
        <w:rPr>
          <w:b/>
        </w:rPr>
        <w:t xml:space="preserve"> to describe the events</w:t>
      </w:r>
      <w:r w:rsidR="00486B09">
        <w:rPr>
          <w:b/>
        </w:rPr>
        <w:t xml:space="preserve"> in </w:t>
      </w:r>
      <w:proofErr w:type="gramStart"/>
      <w:r w:rsidR="00486B09">
        <w:rPr>
          <w:b/>
        </w:rPr>
        <w:t>p</w:t>
      </w:r>
      <w:r>
        <w:rPr>
          <w:b/>
        </w:rPr>
        <w:t xml:space="preserve">ast </w:t>
      </w:r>
      <w:r w:rsidRPr="00C02624">
        <w:rPr>
          <w:b/>
        </w:rPr>
        <w:t>.</w:t>
      </w:r>
      <w:proofErr w:type="gramEnd"/>
    </w:p>
    <w:p w:rsidR="00807A8E" w:rsidRPr="00486B09" w:rsidRDefault="00807A8E" w:rsidP="00807A8E">
      <w:pPr>
        <w:pStyle w:val="ListParagraph"/>
        <w:rPr>
          <w:b/>
        </w:rPr>
      </w:pPr>
    </w:p>
    <w:p w:rsidR="00486B09" w:rsidRPr="00486B09" w:rsidRDefault="00486B09" w:rsidP="00486B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Check the following Biography and underline</w:t>
      </w:r>
      <w:r w:rsidR="00807A8E">
        <w:rPr>
          <w:b/>
        </w:rPr>
        <w:t xml:space="preserve"> or </w:t>
      </w:r>
      <w:proofErr w:type="gramStart"/>
      <w:r w:rsidR="00807A8E">
        <w:rPr>
          <w:b/>
        </w:rPr>
        <w:t xml:space="preserve">highlight </w:t>
      </w:r>
      <w:r>
        <w:rPr>
          <w:b/>
        </w:rPr>
        <w:t xml:space="preserve"> the</w:t>
      </w:r>
      <w:proofErr w:type="gramEnd"/>
      <w:r>
        <w:rPr>
          <w:b/>
        </w:rPr>
        <w:t xml:space="preserve">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>.</w:t>
      </w:r>
    </w:p>
    <w:p w:rsidR="00486B09" w:rsidRPr="00486B09" w:rsidRDefault="00486B09" w:rsidP="00486B09">
      <w:pPr>
        <w:pStyle w:val="NormalWeb"/>
        <w:ind w:left="720"/>
        <w:rPr>
          <w:lang w:val="es-ES"/>
        </w:rPr>
      </w:pPr>
      <w:r w:rsidRPr="00486B09">
        <w:rPr>
          <w:rStyle w:val="Strong"/>
          <w:lang w:val="es-ES"/>
        </w:rPr>
        <w:t>Albert Einstein</w:t>
      </w:r>
      <w:r w:rsidRPr="00486B09">
        <w:rPr>
          <w:lang w:val="es-ES"/>
        </w:rPr>
        <w:t> fue un físico y judío alemán del </w:t>
      </w:r>
      <w:r w:rsidRPr="00486B09">
        <w:rPr>
          <w:rStyle w:val="Strong"/>
          <w:lang w:val="es-ES"/>
        </w:rPr>
        <w:t>siglo XIX</w:t>
      </w:r>
      <w:r w:rsidRPr="00486B09">
        <w:rPr>
          <w:lang w:val="es-ES"/>
        </w:rPr>
        <w:t> y </w:t>
      </w:r>
      <w:r w:rsidRPr="00486B09">
        <w:rPr>
          <w:rStyle w:val="Strong"/>
          <w:lang w:val="es-ES"/>
        </w:rPr>
        <w:t>XX</w:t>
      </w:r>
      <w:r w:rsidRPr="00486B09">
        <w:rPr>
          <w:lang w:val="es-ES"/>
        </w:rPr>
        <w:t> (Nació el 14 de marzo de 1879 y murió el 18 de abril de 1955) conocido principalmente por el desarrollo de la teoría de la relatividad (especial y general) y la explicación teórica del movimiento browniano y el </w:t>
      </w:r>
      <w:hyperlink r:id="rId7" w:tgtFrame="_blank" w:tooltip="Efecto fotoeléctrico" w:history="1">
        <w:r w:rsidRPr="00486B09">
          <w:rPr>
            <w:rStyle w:val="Hyperlink"/>
            <w:b/>
            <w:bCs/>
            <w:color w:val="auto"/>
            <w:u w:val="none"/>
            <w:lang w:val="es-ES"/>
          </w:rPr>
          <w:t>efecto fotoeléctrico</w:t>
        </w:r>
      </w:hyperlink>
      <w:r w:rsidRPr="00486B09">
        <w:rPr>
          <w:lang w:val="es-ES"/>
        </w:rPr>
        <w:t>.</w:t>
      </w:r>
    </w:p>
    <w:p w:rsidR="00486B09" w:rsidRPr="00486B09" w:rsidRDefault="00486B09" w:rsidP="00486B09">
      <w:pPr>
        <w:pStyle w:val="NormalWeb"/>
        <w:ind w:left="360"/>
        <w:rPr>
          <w:lang w:val="es-ES"/>
        </w:rPr>
      </w:pPr>
      <w:r w:rsidRPr="00486B09">
        <w:rPr>
          <w:lang w:val="es-ES"/>
        </w:rPr>
        <w:t xml:space="preserve">Nació en la ciudad alemana de </w:t>
      </w:r>
      <w:r w:rsidRPr="00486B09">
        <w:rPr>
          <w:rStyle w:val="Emphasis"/>
          <w:lang w:val="es-ES"/>
        </w:rPr>
        <w:t>Ulm</w:t>
      </w:r>
      <w:r w:rsidRPr="00486B09">
        <w:rPr>
          <w:lang w:val="es-ES"/>
        </w:rPr>
        <w:t xml:space="preserve">, pero al año de vida su familia se mudó a </w:t>
      </w:r>
      <w:proofErr w:type="spellStart"/>
      <w:r w:rsidRPr="00486B09">
        <w:rPr>
          <w:rStyle w:val="Emphasis"/>
          <w:lang w:val="es-ES"/>
        </w:rPr>
        <w:t>Munich</w:t>
      </w:r>
      <w:proofErr w:type="spellEnd"/>
      <w:r w:rsidRPr="00486B09">
        <w:rPr>
          <w:lang w:val="es-ES"/>
        </w:rPr>
        <w:t xml:space="preserve">, donde viviría hasta los 15 años. Con 17 ingresó en la </w:t>
      </w:r>
      <w:r w:rsidRPr="00486B09">
        <w:rPr>
          <w:rStyle w:val="Emphasis"/>
          <w:lang w:val="es-ES"/>
        </w:rPr>
        <w:t xml:space="preserve">Escuela Politécnica Federal de </w:t>
      </w:r>
      <w:proofErr w:type="spellStart"/>
      <w:r w:rsidRPr="00486B09">
        <w:rPr>
          <w:rStyle w:val="Emphasis"/>
          <w:lang w:val="es-ES"/>
        </w:rPr>
        <w:t>Zurich</w:t>
      </w:r>
      <w:proofErr w:type="spellEnd"/>
      <w:r w:rsidRPr="00486B09">
        <w:rPr>
          <w:lang w:val="es-ES"/>
        </w:rPr>
        <w:t xml:space="preserve"> para estudiar matemáticas y física. Cinco años más tarde, ya graduado, consiguió la nacionalidad suiza y en 1902 comenzó a trabajar en la </w:t>
      </w:r>
      <w:r w:rsidRPr="00486B09">
        <w:rPr>
          <w:i/>
          <w:iCs/>
          <w:lang w:val="es-ES"/>
        </w:rPr>
        <w:t>Oficina Federal de la Propiedad Intelectual de Suiza</w:t>
      </w:r>
      <w:r w:rsidRPr="00486B09">
        <w:rPr>
          <w:lang w:val="es-ES"/>
        </w:rPr>
        <w:t>, empleo que compaginó hasta los 30 años con sus investigaciones científicas.</w:t>
      </w:r>
    </w:p>
    <w:p w:rsidR="00486B09" w:rsidRPr="00486B09" w:rsidRDefault="00486B09" w:rsidP="00486B09">
      <w:pPr>
        <w:pStyle w:val="NormalWeb"/>
        <w:ind w:left="720"/>
        <w:rPr>
          <w:lang w:val="es-ES"/>
        </w:rPr>
      </w:pPr>
      <w:r w:rsidRPr="00486B09">
        <w:rPr>
          <w:lang w:val="es-ES"/>
        </w:rPr>
        <w:t xml:space="preserve">1905 fue su año más fructífero, resultado de la publicación de cuatro artículos científicos sobre el </w:t>
      </w:r>
      <w:r w:rsidRPr="00486B09">
        <w:rPr>
          <w:rStyle w:val="Strong"/>
          <w:lang w:val="es-ES"/>
        </w:rPr>
        <w:t>efecto fotoeléctrico</w:t>
      </w:r>
      <w:r w:rsidRPr="00486B09">
        <w:rPr>
          <w:lang w:val="es-ES"/>
        </w:rPr>
        <w:t xml:space="preserve">, el </w:t>
      </w:r>
      <w:r w:rsidRPr="00486B09">
        <w:rPr>
          <w:rStyle w:val="Strong"/>
          <w:lang w:val="es-ES"/>
        </w:rPr>
        <w:t>movimiento browniano</w:t>
      </w:r>
      <w:r w:rsidRPr="00486B09">
        <w:rPr>
          <w:lang w:val="es-ES"/>
        </w:rPr>
        <w:t xml:space="preserve">, la </w:t>
      </w:r>
      <w:r w:rsidRPr="00486B09">
        <w:rPr>
          <w:rStyle w:val="Strong"/>
          <w:lang w:val="es-ES"/>
        </w:rPr>
        <w:t>teoría de la relatividad especial</w:t>
      </w:r>
      <w:r w:rsidRPr="00486B09">
        <w:rPr>
          <w:lang w:val="es-ES"/>
        </w:rPr>
        <w:t xml:space="preserve"> y la </w:t>
      </w:r>
      <w:r w:rsidRPr="00486B09">
        <w:rPr>
          <w:rStyle w:val="Strong"/>
          <w:lang w:val="es-ES"/>
        </w:rPr>
        <w:t>equivalencia masa-energía</w:t>
      </w:r>
      <w:r w:rsidRPr="00486B09">
        <w:rPr>
          <w:lang w:val="es-ES"/>
        </w:rPr>
        <w:t xml:space="preserve"> (E = mc²). El primero le valió el </w:t>
      </w:r>
      <w:r w:rsidRPr="00486B09">
        <w:rPr>
          <w:rStyle w:val="Strong"/>
          <w:lang w:val="es-ES"/>
        </w:rPr>
        <w:t xml:space="preserve">Premio Nobel </w:t>
      </w:r>
      <w:proofErr w:type="gramStart"/>
      <w:r w:rsidRPr="00486B09">
        <w:rPr>
          <w:rStyle w:val="Strong"/>
          <w:lang w:val="es-ES"/>
        </w:rPr>
        <w:t>de</w:t>
      </w:r>
      <w:proofErr w:type="gramEnd"/>
      <w:r w:rsidRPr="00486B09">
        <w:rPr>
          <w:rStyle w:val="Strong"/>
          <w:lang w:val="es-ES"/>
        </w:rPr>
        <w:t xml:space="preserve"> Física del año 1921</w:t>
      </w:r>
      <w:r w:rsidRPr="00486B09">
        <w:rPr>
          <w:lang w:val="es-ES"/>
        </w:rPr>
        <w:t xml:space="preserve">, el segundo el grado de doctor y los dos últimos le consagrarían, con el tiempo, como el </w:t>
      </w:r>
      <w:r w:rsidRPr="00486B09">
        <w:rPr>
          <w:rStyle w:val="Strong"/>
          <w:lang w:val="es-ES"/>
        </w:rPr>
        <w:t>mayor científico del siglo XX</w:t>
      </w:r>
      <w:r w:rsidRPr="00486B09">
        <w:rPr>
          <w:lang w:val="es-ES"/>
        </w:rPr>
        <w:t>.</w:t>
      </w:r>
    </w:p>
    <w:p w:rsidR="00486B09" w:rsidRDefault="00486B09" w:rsidP="00486B09">
      <w:pPr>
        <w:pStyle w:val="NormalWeb"/>
        <w:ind w:left="720"/>
        <w:rPr>
          <w:lang w:val="es-ES"/>
        </w:rPr>
      </w:pPr>
      <w:r w:rsidRPr="00486B09">
        <w:rPr>
          <w:lang w:val="es-ES"/>
        </w:rPr>
        <w:t xml:space="preserve">En 1908 comenzó a ejercer como profesor de física en la </w:t>
      </w:r>
      <w:r w:rsidRPr="00486B09">
        <w:rPr>
          <w:rStyle w:val="Emphasis"/>
          <w:lang w:val="es-ES"/>
        </w:rPr>
        <w:t>universidad de Berna</w:t>
      </w:r>
      <w:r w:rsidRPr="00486B09">
        <w:rPr>
          <w:lang w:val="es-ES"/>
        </w:rPr>
        <w:t>, cargo que continuaría años posteriores en Praga y finalmente en Berlín, ciudad en la que vivió hasta que el ascenso del régimen nazi le hiciera abandonar Alemania y mudarse a Estados Unidos (1932). Allí impartió docencia en el </w:t>
      </w:r>
      <w:r w:rsidRPr="00486B09">
        <w:rPr>
          <w:i/>
          <w:iCs/>
          <w:lang w:val="es-ES"/>
        </w:rPr>
        <w:t>Instituto de Estudios Avanzados de Princeton</w:t>
      </w:r>
      <w:r w:rsidRPr="00486B09">
        <w:rPr>
          <w:lang w:val="es-ES"/>
        </w:rPr>
        <w:t>, se nacionalizó estadounidense (obteniendo la doble nacionalidad suizo-estadounidense) y pasó el resto de su vida intentando integrar las leyes físicas de la</w:t>
      </w:r>
      <w:r>
        <w:rPr>
          <w:u w:val="single"/>
          <w:lang w:val="es-ES"/>
        </w:rPr>
        <w:t xml:space="preserve"> </w:t>
      </w:r>
      <w:r w:rsidRPr="00486B09">
        <w:rPr>
          <w:lang w:val="es-ES"/>
        </w:rPr>
        <w:t>gravitación y el electromagnetismo así como divulgando valores pacifistas, socialistas y sionistas.</w:t>
      </w:r>
    </w:p>
    <w:p w:rsidR="00486B09" w:rsidRPr="00486B09" w:rsidRDefault="00486B09" w:rsidP="00486B09">
      <w:pPr>
        <w:pStyle w:val="ListParagraph"/>
        <w:rPr>
          <w:b/>
          <w:lang w:val="es-ES"/>
        </w:rPr>
      </w:pPr>
    </w:p>
    <w:p w:rsidR="00486B09" w:rsidRPr="00486B09" w:rsidRDefault="00486B09" w:rsidP="00486B09">
      <w:pPr>
        <w:pStyle w:val="ListParagraph"/>
        <w:rPr>
          <w:b/>
          <w:lang w:val="es-CO"/>
        </w:rPr>
      </w:pPr>
    </w:p>
    <w:p w:rsidR="004B7194" w:rsidRPr="00486B09" w:rsidRDefault="004B7194" w:rsidP="004B7194">
      <w:pPr>
        <w:rPr>
          <w:lang w:val="es-CO"/>
        </w:rPr>
      </w:pPr>
    </w:p>
    <w:p w:rsidR="00000E51" w:rsidRPr="00486B09" w:rsidRDefault="00000E51">
      <w:pPr>
        <w:rPr>
          <w:lang w:val="es-CO"/>
        </w:rPr>
      </w:pPr>
    </w:p>
    <w:sectPr w:rsidR="00000E51" w:rsidRPr="0048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0CF4"/>
    <w:multiLevelType w:val="hybridMultilevel"/>
    <w:tmpl w:val="98FA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4"/>
    <w:rsid w:val="00000E51"/>
    <w:rsid w:val="001E7094"/>
    <w:rsid w:val="00486B09"/>
    <w:rsid w:val="004B7194"/>
    <w:rsid w:val="008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4"/>
  </w:style>
  <w:style w:type="paragraph" w:styleId="Heading4">
    <w:name w:val="heading 4"/>
    <w:basedOn w:val="Normal"/>
    <w:link w:val="Heading4Char"/>
    <w:uiPriority w:val="9"/>
    <w:qFormat/>
    <w:rsid w:val="00486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94"/>
    <w:pPr>
      <w:ind w:left="720"/>
      <w:contextualSpacing/>
    </w:pPr>
  </w:style>
  <w:style w:type="table" w:styleId="TableGrid">
    <w:name w:val="Table Grid"/>
    <w:basedOn w:val="TableNormal"/>
    <w:uiPriority w:val="59"/>
    <w:rsid w:val="004B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1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B09"/>
    <w:rPr>
      <w:b/>
      <w:bCs/>
    </w:rPr>
  </w:style>
  <w:style w:type="character" w:styleId="Emphasis">
    <w:name w:val="Emphasis"/>
    <w:basedOn w:val="DefaultParagraphFont"/>
    <w:uiPriority w:val="20"/>
    <w:qFormat/>
    <w:rsid w:val="00486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4"/>
  </w:style>
  <w:style w:type="paragraph" w:styleId="Heading4">
    <w:name w:val="heading 4"/>
    <w:basedOn w:val="Normal"/>
    <w:link w:val="Heading4Char"/>
    <w:uiPriority w:val="9"/>
    <w:qFormat/>
    <w:rsid w:val="00486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94"/>
    <w:pPr>
      <w:ind w:left="720"/>
      <w:contextualSpacing/>
    </w:pPr>
  </w:style>
  <w:style w:type="table" w:styleId="TableGrid">
    <w:name w:val="Table Grid"/>
    <w:basedOn w:val="TableNormal"/>
    <w:uiPriority w:val="59"/>
    <w:rsid w:val="004B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1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B09"/>
    <w:rPr>
      <w:b/>
      <w:bCs/>
    </w:rPr>
  </w:style>
  <w:style w:type="character" w:styleId="Emphasis">
    <w:name w:val="Emphasis"/>
    <w:basedOn w:val="DefaultParagraphFont"/>
    <w:uiPriority w:val="20"/>
    <w:qFormat/>
    <w:rsid w:val="004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berespractico.com/curiosidades/que-es-el-efecto-fotoelectr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AQIJLv7s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2014-02-24T12:46:00Z</dcterms:created>
  <dcterms:modified xsi:type="dcterms:W3CDTF">2014-02-24T12:57:00Z</dcterms:modified>
</cp:coreProperties>
</file>